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98816" w14:textId="77777777" w:rsidR="003A3D03" w:rsidRDefault="003A3D03" w:rsidP="003A3D03">
      <w:pPr>
        <w:spacing w:line="312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US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</w:p>
    <w:p w14:paraId="6546904D" w14:textId="77777777" w:rsidR="003A3D03" w:rsidRDefault="003A3D03" w:rsidP="003A3D03">
      <w:pPr>
        <w:pBdr>
          <w:top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Gazdasági, Műszaki, Jogi, Környezetvédelmi Bizottság Elnöke</w:t>
      </w:r>
    </w:p>
    <w:p w14:paraId="5F1AD1C8" w14:textId="77777777" w:rsidR="003A3D03" w:rsidRDefault="003A3D03" w:rsidP="003A3D03">
      <w:pPr>
        <w:pBdr>
          <w:top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0D8B9" w14:textId="041ED059" w:rsidR="003A3D03" w:rsidRDefault="003A3D03" w:rsidP="003A3D0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bizottság határozatképtelen volt</w:t>
      </w:r>
      <w:r>
        <w:rPr>
          <w:rFonts w:ascii="Times New Roman" w:hAnsi="Times New Roman" w:cs="Times New Roman"/>
          <w:bCs/>
          <w:sz w:val="24"/>
          <w:szCs w:val="24"/>
        </w:rPr>
        <w:t xml:space="preserve">, a megjelent tagok egyet értettek abban, hogy a vagyon- és közbiztonság védelmének növelése érdekében további térfigyelő-kamerák kihelyezése támogatható, azonban az ajánlatok összegét – főként Hánta településrész tekintetében – magasnak találták. László Gábor adatvédelmi tisztviselő vállalta, hogy alternatív megoldást próbál keresni és javasolni. </w:t>
      </w:r>
    </w:p>
    <w:p w14:paraId="48872C8A" w14:textId="77777777" w:rsidR="003A3D03" w:rsidRDefault="003A3D03" w:rsidP="003A3D0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C48360" w14:textId="77777777" w:rsidR="003A3D03" w:rsidRDefault="003A3D03" w:rsidP="003A3D0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Kisbér, 2024. április 4.</w:t>
      </w:r>
    </w:p>
    <w:p w14:paraId="01F0BA2B" w14:textId="77777777" w:rsidR="003A3D03" w:rsidRDefault="003A3D03" w:rsidP="003A3D03">
      <w:pPr>
        <w:tabs>
          <w:tab w:val="center" w:pos="3828"/>
          <w:tab w:val="center" w:pos="67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Andrási Tamás s.k.</w:t>
      </w:r>
      <w:r>
        <w:rPr>
          <w:rFonts w:ascii="Times New Roman" w:hAnsi="Times New Roman" w:cs="Times New Roman"/>
          <w:sz w:val="24"/>
          <w:szCs w:val="24"/>
        </w:rPr>
        <w:tab/>
        <w:t>Pápai Mónika s.k.</w:t>
      </w:r>
    </w:p>
    <w:p w14:paraId="0B22B142" w14:textId="77777777" w:rsidR="003A3D03" w:rsidRDefault="003A3D03" w:rsidP="003A3D03">
      <w:pPr>
        <w:tabs>
          <w:tab w:val="center" w:pos="3828"/>
          <w:tab w:val="center" w:pos="6768"/>
        </w:tabs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elnök</w:t>
      </w:r>
      <w:r>
        <w:rPr>
          <w:rFonts w:ascii="Times New Roman" w:hAnsi="Times New Roman" w:cs="Times New Roman"/>
          <w:sz w:val="24"/>
          <w:szCs w:val="24"/>
        </w:rPr>
        <w:tab/>
        <w:t>referens</w:t>
      </w:r>
    </w:p>
    <w:p w14:paraId="4CF6D5D8" w14:textId="77777777" w:rsidR="003A3D03" w:rsidRDefault="003A3D03" w:rsidP="003A3D03">
      <w:pPr>
        <w:rPr>
          <w:rFonts w:ascii="Times New Roman" w:hAnsi="Times New Roman" w:cs="Times New Roman"/>
        </w:rPr>
      </w:pPr>
    </w:p>
    <w:p w14:paraId="34769807" w14:textId="77777777" w:rsidR="003A3D03" w:rsidRDefault="003A3D03" w:rsidP="003A3D03"/>
    <w:p w14:paraId="537C1C24" w14:textId="77777777" w:rsidR="007E2A59" w:rsidRDefault="007E2A59"/>
    <w:sectPr w:rsidR="007E2A59" w:rsidSect="003A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A112B"/>
    <w:multiLevelType w:val="hybridMultilevel"/>
    <w:tmpl w:val="9A088B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54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03"/>
    <w:rsid w:val="003A3D03"/>
    <w:rsid w:val="007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B884"/>
  <w15:chartTrackingRefBased/>
  <w15:docId w15:val="{20AD5B5D-BA6C-4F29-BF0A-3C9696A2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3D03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3A3D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A3D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A3D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3D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3D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3D0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3D0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3D0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3D0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A3D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A3D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A3D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A3D03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3D03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3D03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3D03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3D03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3D03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3A3D0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A3D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A3D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A3D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A3D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A3D03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3A3D03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A3D03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3D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3D03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A3D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464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1</cp:revision>
  <dcterms:created xsi:type="dcterms:W3CDTF">2024-04-04T13:06:00Z</dcterms:created>
  <dcterms:modified xsi:type="dcterms:W3CDTF">2024-04-04T13:15:00Z</dcterms:modified>
</cp:coreProperties>
</file>